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7"/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ind w:left="2646"/>
        <w:spacing w:before="140" w:line="603" w:lineRule="exact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4"/>
          <w:position w:val="3"/>
        </w:rPr>
        <w:t>参赛材料有关要求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635"/>
        <w:spacing w:before="101" w:line="223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"/>
        </w:rPr>
        <w:t>一、《走在前列的广东实践》教学设计参考样式</w:t>
      </w:r>
    </w:p>
    <w:p>
      <w:pPr>
        <w:ind w:left="622"/>
        <w:spacing w:before="151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9"/>
        </w:rPr>
        <w:t>（一）基本信息</w:t>
      </w:r>
    </w:p>
    <w:p>
      <w:pPr>
        <w:pStyle w:val="BodyText"/>
        <w:ind w:left="630"/>
        <w:spacing w:before="155" w:line="221" w:lineRule="auto"/>
        <w:rPr/>
      </w:pPr>
      <w:r>
        <w:rPr>
          <w:spacing w:val="5"/>
        </w:rPr>
        <w:t>课例名称：</w:t>
      </w:r>
    </w:p>
    <w:p>
      <w:pPr>
        <w:pStyle w:val="BodyText"/>
        <w:ind w:left="628"/>
        <w:spacing w:before="156" w:line="219" w:lineRule="auto"/>
        <w:rPr/>
      </w:pPr>
      <w:r>
        <w:rPr>
          <w:spacing w:val="5"/>
        </w:rPr>
        <w:t>授课教师：</w:t>
      </w:r>
    </w:p>
    <w:p>
      <w:pPr>
        <w:ind w:left="622"/>
        <w:spacing w:before="158"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9"/>
        </w:rPr>
        <w:t>（二）教学分析</w:t>
      </w:r>
    </w:p>
    <w:p>
      <w:pPr>
        <w:pStyle w:val="BodyText"/>
        <w:ind w:left="655"/>
        <w:spacing w:before="157" w:line="219" w:lineRule="auto"/>
        <w:rPr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spacing w:val="1"/>
        </w:rPr>
        <w:t>教材分析</w:t>
      </w:r>
    </w:p>
    <w:p>
      <w:pPr>
        <w:pStyle w:val="BodyText"/>
        <w:ind w:left="625"/>
        <w:spacing w:before="158" w:line="221" w:lineRule="auto"/>
        <w:rPr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rFonts w:ascii="Times New Roman" w:hAnsi="Times New Roman" w:eastAsia="Times New Roman" w:cs="Times New Roman"/>
          <w:spacing w:val="-45"/>
        </w:rPr>
        <w:t xml:space="preserve"> </w:t>
      </w:r>
      <w:r>
        <w:rPr>
          <w:spacing w:val="1"/>
        </w:rPr>
        <w:t>学情分析</w:t>
      </w:r>
    </w:p>
    <w:p>
      <w:pPr>
        <w:pStyle w:val="BodyText"/>
        <w:ind w:left="631"/>
        <w:spacing w:before="156" w:line="219" w:lineRule="auto"/>
        <w:rPr/>
      </w:pPr>
      <w:r>
        <w:rPr>
          <w:rFonts w:ascii="Times New Roman" w:hAnsi="Times New Roman" w:eastAsia="Times New Roman" w:cs="Times New Roman"/>
          <w:spacing w:val="6"/>
        </w:rPr>
        <w:t>3.</w:t>
      </w:r>
      <w:r>
        <w:rPr>
          <w:spacing w:val="6"/>
        </w:rPr>
        <w:t>教学重难点</w:t>
      </w:r>
    </w:p>
    <w:p>
      <w:pPr>
        <w:pStyle w:val="BodyText"/>
        <w:ind w:left="623"/>
        <w:spacing w:before="158" w:line="220" w:lineRule="auto"/>
        <w:rPr/>
      </w:pPr>
      <w:r>
        <w:rPr>
          <w:rFonts w:ascii="Times New Roman" w:hAnsi="Times New Roman" w:eastAsia="Times New Roman" w:cs="Times New Roman"/>
          <w:spacing w:val="7"/>
        </w:rPr>
        <w:t>4.</w:t>
      </w:r>
      <w:r>
        <w:rPr>
          <w:spacing w:val="7"/>
        </w:rPr>
        <w:t>教学创新点</w:t>
      </w:r>
    </w:p>
    <w:p>
      <w:pPr>
        <w:ind w:left="622"/>
        <w:spacing w:before="159"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-1"/>
        </w:rPr>
        <w:t>（</w:t>
      </w:r>
      <w:r>
        <w:rPr>
          <w:rFonts w:ascii="KaiTi" w:hAnsi="KaiTi" w:eastAsia="KaiTi" w:cs="KaiTi"/>
          <w:sz w:val="31"/>
          <w:szCs w:val="31"/>
          <w:spacing w:val="-85"/>
        </w:rPr>
        <w:t xml:space="preserve"> </w:t>
      </w:r>
      <w:r>
        <w:rPr>
          <w:rFonts w:ascii="KaiTi" w:hAnsi="KaiTi" w:eastAsia="KaiTi" w:cs="KaiTi"/>
          <w:sz w:val="31"/>
          <w:szCs w:val="31"/>
          <w:spacing w:val="-1"/>
        </w:rPr>
        <w:t>三）教学目标</w:t>
      </w:r>
    </w:p>
    <w:p>
      <w:pPr>
        <w:ind w:left="622"/>
        <w:spacing w:before="157"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1"/>
        </w:rPr>
        <w:t>（</w:t>
      </w:r>
      <w:r>
        <w:rPr>
          <w:rFonts w:ascii="KaiTi" w:hAnsi="KaiTi" w:eastAsia="KaiTi" w:cs="KaiTi"/>
          <w:sz w:val="31"/>
          <w:szCs w:val="31"/>
          <w:spacing w:val="-72"/>
        </w:rPr>
        <w:t xml:space="preserve"> </w:t>
      </w:r>
      <w:r>
        <w:rPr>
          <w:rFonts w:ascii="KaiTi" w:hAnsi="KaiTi" w:eastAsia="KaiTi" w:cs="KaiTi"/>
          <w:sz w:val="31"/>
          <w:szCs w:val="31"/>
          <w:spacing w:val="1"/>
        </w:rPr>
        <w:t>四）教学资源与环境</w:t>
      </w:r>
    </w:p>
    <w:p>
      <w:pPr>
        <w:ind w:left="622"/>
        <w:spacing w:before="154"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9"/>
        </w:rPr>
        <w:t>（五）教学过程</w:t>
      </w:r>
    </w:p>
    <w:p>
      <w:pPr>
        <w:ind w:left="622"/>
        <w:spacing w:before="157"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-2"/>
        </w:rPr>
        <w:t>（</w:t>
      </w:r>
      <w:r>
        <w:rPr>
          <w:rFonts w:ascii="KaiTi" w:hAnsi="KaiTi" w:eastAsia="KaiTi" w:cs="KaiTi"/>
          <w:sz w:val="31"/>
          <w:szCs w:val="31"/>
          <w:spacing w:val="-77"/>
        </w:rPr>
        <w:t xml:space="preserve"> </w:t>
      </w:r>
      <w:r>
        <w:rPr>
          <w:rFonts w:ascii="KaiTi" w:hAnsi="KaiTi" w:eastAsia="KaiTi" w:cs="KaiTi"/>
          <w:sz w:val="31"/>
          <w:szCs w:val="31"/>
          <w:spacing w:val="-2"/>
        </w:rPr>
        <w:t>六）教学反思</w:t>
      </w:r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ind w:left="635"/>
        <w:spacing w:before="102" w:line="228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二、视频技术要求</w:t>
      </w:r>
    </w:p>
    <w:p>
      <w:pPr>
        <w:pStyle w:val="BodyText"/>
        <w:ind w:right="2" w:firstLine="635"/>
        <w:spacing w:before="145" w:line="304" w:lineRule="auto"/>
        <w:rPr/>
      </w:pPr>
      <w:r>
        <w:rPr>
          <w:spacing w:val="6"/>
        </w:rPr>
        <w:t>视频文件格式为</w:t>
      </w:r>
      <w:r>
        <w:rPr>
          <w:rFonts w:ascii="Times New Roman" w:hAnsi="Times New Roman" w:eastAsia="Times New Roman" w:cs="Times New Roman"/>
        </w:rPr>
        <w:t>mp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，视频分辨率为</w:t>
      </w:r>
      <w:r>
        <w:rPr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1920×10</w:t>
      </w:r>
      <w:r>
        <w:rPr>
          <w:rFonts w:ascii="Times New Roman" w:hAnsi="Times New Roman" w:eastAsia="Times New Roman" w:cs="Times New Roman"/>
          <w:spacing w:val="5"/>
        </w:rPr>
        <w:t>80</w:t>
      </w:r>
      <w:r>
        <w:rPr>
          <w:spacing w:val="5"/>
        </w:rPr>
        <w:t>，视频编码</w:t>
      </w:r>
      <w:r>
        <w:rPr/>
        <w:t>为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</w:rPr>
        <w:t>H264 </w:t>
      </w:r>
      <w:r>
        <w:rPr/>
        <w:t>编码，大小</w:t>
      </w:r>
      <w:r>
        <w:rPr>
          <w:spacing w:val="46"/>
        </w:rPr>
        <w:t xml:space="preserve"> </w:t>
      </w:r>
      <w:r>
        <w:rPr>
          <w:rFonts w:ascii="Times New Roman" w:hAnsi="Times New Roman" w:eastAsia="Times New Roman" w:cs="Times New Roman"/>
        </w:rPr>
        <w:t>1G</w:t>
      </w:r>
      <w:r>
        <w:rPr>
          <w:rFonts w:ascii="Times New Roman" w:hAnsi="Times New Roman" w:eastAsia="Times New Roman" w:cs="Times New Roman"/>
          <w:spacing w:val="60"/>
          <w:w w:val="101"/>
        </w:rPr>
        <w:t xml:space="preserve"> </w:t>
      </w:r>
      <w:r>
        <w:rPr/>
        <w:t>以内（剪辑过程中压缩比不宜过大）。</w:t>
      </w:r>
    </w:p>
    <w:sectPr>
      <w:footerReference w:type="default" r:id="rId1"/>
      <w:pgSz w:w="11906" w:h="16839"/>
      <w:pgMar w:top="1431" w:right="1472" w:bottom="1766" w:left="1608" w:header="0" w:footer="140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3"/>
      </w:rPr>
      <w:t>—</w:t>
    </w:r>
    <w:r>
      <w:rPr>
        <w:rFonts w:ascii="SimSun" w:hAnsi="SimSun" w:eastAsia="SimSun" w:cs="SimSun"/>
        <w:sz w:val="28"/>
        <w:szCs w:val="28"/>
        <w:spacing w:val="16"/>
      </w:rPr>
      <w:t xml:space="preserve"> </w:t>
    </w:r>
    <w:r>
      <w:rPr>
        <w:rFonts w:ascii="SimSun" w:hAnsi="SimSun" w:eastAsia="SimSun" w:cs="SimSun"/>
        <w:sz w:val="28"/>
        <w:szCs w:val="28"/>
        <w:spacing w:val="-12"/>
      </w:rPr>
      <w:t>5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2026-04-20T10:05:01</vt:filetime>
  </property>
</Properties>
</file>